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846E" w14:textId="7908C344" w:rsidR="00D309AF" w:rsidRDefault="00D309AF" w:rsidP="00922983">
      <w:pPr>
        <w:tabs>
          <w:tab w:val="left" w:pos="142"/>
        </w:tabs>
      </w:pPr>
    </w:p>
    <w:p w14:paraId="6037F9E4" w14:textId="1ED0239C" w:rsidR="00CE0C05" w:rsidRDefault="00CE0C05" w:rsidP="00922983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 </w:t>
      </w:r>
      <w:r w:rsidR="007F158E">
        <w:t>Załącznik d do umowy o pożyczkę</w:t>
      </w:r>
    </w:p>
    <w:p w14:paraId="2051B07A" w14:textId="78EC0D36" w:rsidR="00CE0C05" w:rsidRDefault="00CE0C05" w:rsidP="00922983">
      <w:pPr>
        <w:tabs>
          <w:tab w:val="left" w:pos="142"/>
        </w:tabs>
      </w:pPr>
    </w:p>
    <w:p w14:paraId="70F65D3F" w14:textId="4B23DAA0" w:rsidR="00CE0C05" w:rsidRDefault="00CE0C05" w:rsidP="00CE0C05">
      <w:pPr>
        <w:spacing w:after="139" w:line="259" w:lineRule="auto"/>
        <w:ind w:left="0" w:right="3" w:firstLine="0"/>
        <w:jc w:val="center"/>
      </w:pPr>
      <w:r>
        <w:rPr>
          <w:b/>
        </w:rPr>
        <w:t xml:space="preserve">Karta Produktu  Pożyczka Obrotowo Inwestycyjna PLUS </w:t>
      </w:r>
    </w:p>
    <w:p w14:paraId="3664384B" w14:textId="77777777" w:rsidR="00CE0C05" w:rsidRDefault="00CE0C05" w:rsidP="00CE0C05">
      <w:pPr>
        <w:pStyle w:val="Nagwek1"/>
        <w:ind w:left="413" w:right="0" w:hanging="428"/>
      </w:pPr>
      <w:r>
        <w:t xml:space="preserve">Podstawowe parametry  Pożyczki Obrotowo Inwestycyjnej PLUS </w:t>
      </w:r>
    </w:p>
    <w:p w14:paraId="3DD05935" w14:textId="77777777" w:rsidR="00CE0C05" w:rsidRDefault="00CE0C05" w:rsidP="00CE0C05">
      <w:pPr>
        <w:numPr>
          <w:ilvl w:val="0"/>
          <w:numId w:val="1"/>
        </w:numPr>
        <w:ind w:hanging="428"/>
      </w:pPr>
      <w:r>
        <w:t xml:space="preserve">Wartość Pożyczki Obrotowo Inwestycyjnej PLUS wynosi powyżej 100 000,00 zł do 500 000,00 zł. </w:t>
      </w:r>
    </w:p>
    <w:p w14:paraId="7CFB166C" w14:textId="77777777" w:rsidR="00CE0C05" w:rsidRDefault="00CE0C05" w:rsidP="00CE0C05">
      <w:pPr>
        <w:numPr>
          <w:ilvl w:val="0"/>
          <w:numId w:val="1"/>
        </w:numPr>
        <w:ind w:hanging="428"/>
      </w:pPr>
      <w:r>
        <w:t xml:space="preserve">Wkład własny Ostatecznego Odbiorcy nie jest wymagany. </w:t>
      </w:r>
    </w:p>
    <w:p w14:paraId="47983B13" w14:textId="77777777" w:rsidR="00CE0C05" w:rsidRDefault="00CE0C05" w:rsidP="00CE0C05">
      <w:pPr>
        <w:numPr>
          <w:ilvl w:val="0"/>
          <w:numId w:val="1"/>
        </w:numPr>
        <w:ind w:hanging="428"/>
      </w:pPr>
      <w:r>
        <w:t xml:space="preserve">Maksymalny termin na wypłatę całkowitej kwoty Pożyczki Obrotowo Inwestycyjnej PLUS Ostatecznemu Odbiorcy wynosi 90 dni kalendarzowych od dnia zawarcia Umowy Inwestycyjnej.  </w:t>
      </w:r>
    </w:p>
    <w:p w14:paraId="361F1BE6" w14:textId="77777777" w:rsidR="00CE0C05" w:rsidRDefault="00CE0C05" w:rsidP="00CE0C05">
      <w:pPr>
        <w:numPr>
          <w:ilvl w:val="0"/>
          <w:numId w:val="1"/>
        </w:numPr>
        <w:ind w:hanging="428"/>
      </w:pPr>
      <w:r>
        <w:t xml:space="preserve">Maksymalny okres spłaty Pożyczki Obrotowo Inwestycyjnej PLUS nie może być dłuższy niż 84 </w:t>
      </w:r>
      <w:proofErr w:type="spellStart"/>
      <w:r>
        <w:t>miesięce</w:t>
      </w:r>
      <w:proofErr w:type="spellEnd"/>
      <w:r>
        <w:t xml:space="preserve">, od momentu jej uruchomienia, tj. wypłaty jakiejkolwiek kwoty Pożyczki  Obrotowo Inwestycyjnej PLUS. </w:t>
      </w:r>
    </w:p>
    <w:p w14:paraId="627E11C8" w14:textId="77777777" w:rsidR="00CE0C05" w:rsidRDefault="00CE0C05" w:rsidP="00CE0C05">
      <w:pPr>
        <w:numPr>
          <w:ilvl w:val="0"/>
          <w:numId w:val="1"/>
        </w:numPr>
        <w:spacing w:after="125"/>
        <w:ind w:hanging="428"/>
      </w:pPr>
      <w:r>
        <w:t xml:space="preserve">Maksymalna karencja w spłacie kapitału Pożyczki Obrotowo Inwestycyjnej PLUS wynosi 8 miesięcy od dnia jej uruchomienia, natomiast w przypadku B+R wynosi 14 miesięcy, przy czym karencja nie wydłuża okresu spłaty Pożyczki Obrotowo Inwestycyjnej PLUS .  </w:t>
      </w:r>
    </w:p>
    <w:p w14:paraId="197D0D96" w14:textId="77777777" w:rsidR="00CE0C05" w:rsidRDefault="00CE0C05" w:rsidP="00CE0C05">
      <w:pPr>
        <w:spacing w:after="172" w:line="259" w:lineRule="auto"/>
        <w:ind w:left="0" w:firstLine="0"/>
        <w:jc w:val="left"/>
      </w:pPr>
      <w:r>
        <w:rPr>
          <w:b/>
        </w:rPr>
        <w:t xml:space="preserve"> </w:t>
      </w:r>
    </w:p>
    <w:p w14:paraId="6D7EE47E" w14:textId="77777777" w:rsidR="00CE0C05" w:rsidRDefault="00CE0C05" w:rsidP="00CE0C05">
      <w:pPr>
        <w:pStyle w:val="Nagwek1"/>
        <w:ind w:left="413" w:right="0" w:hanging="428"/>
      </w:pPr>
      <w:r>
        <w:t xml:space="preserve">Zasady dotyczące udzielania i udokumentowania Pożyczki Obrotowo Inwestycyjnej PLUS </w:t>
      </w:r>
    </w:p>
    <w:p w14:paraId="3810AE09" w14:textId="77777777" w:rsidR="00CE0C05" w:rsidRDefault="00CE0C05" w:rsidP="00CE0C05">
      <w:pPr>
        <w:numPr>
          <w:ilvl w:val="0"/>
          <w:numId w:val="2"/>
        </w:numPr>
        <w:ind w:hanging="428"/>
      </w:pPr>
      <w:r>
        <w:t>Udzielenie Pożyczki Obrotowo Inwestycyjnej PLUS nie może być uzależnione od zawarcia przez Ostatecznego Odbiorcę dodatkowych umów (w szczególności dotyczących zakupu dodatkowych usług, produktów finansowych lub ubezpieczeniowych) z [</w:t>
      </w:r>
      <w:r>
        <w:rPr>
          <w:i/>
        </w:rPr>
        <w:t>Nazwa Pośrednika Finansowego</w:t>
      </w:r>
      <w:r>
        <w:t>] lub podmiotem partnerskim lub powiązanym w stosunku do [</w:t>
      </w:r>
      <w:r>
        <w:rPr>
          <w:i/>
        </w:rPr>
        <w:t>Nazwa Pośrednika Finansowego</w:t>
      </w:r>
      <w:r>
        <w:t>]; powyższe nie dotyczy powszechnie występujących na rynku oraz standardowo stosowanych przez [</w:t>
      </w:r>
      <w:r>
        <w:rPr>
          <w:i/>
        </w:rPr>
        <w:t>Nazwa Pośrednika Finansowego</w:t>
      </w:r>
      <w:r>
        <w:t>] zabezpieczeń ustanawianych przez Ostatecznego Odbiorcę na rzecz [</w:t>
      </w:r>
      <w:r>
        <w:rPr>
          <w:i/>
        </w:rPr>
        <w:t>Nazwa Pośrednika Finansowego</w:t>
      </w:r>
      <w:r>
        <w:t xml:space="preserve">] w związku z zawieraną Umową Inwestycyjną, z zastrzeżeniem, iż w przypadku zabezpieczenia takiego jak „cesja praw z polisy ubezpieczeniowej” Ostateczny Odbiorca ma możliwość wyboru oferty spośród ubezpieczycieli dostępnych na rynku. </w:t>
      </w:r>
    </w:p>
    <w:p w14:paraId="2FAE07A0" w14:textId="58B85604" w:rsidR="00CE0C05" w:rsidRDefault="00CE0C05" w:rsidP="00CE0C05">
      <w:pPr>
        <w:numPr>
          <w:ilvl w:val="0"/>
          <w:numId w:val="2"/>
        </w:numPr>
        <w:spacing w:after="128"/>
        <w:ind w:hanging="428"/>
      </w:pPr>
      <w:r>
        <w:t xml:space="preserve">Wydatkowanie środków Pożyczki Obrotowo Inwestycyjnej PLUS musi zostać należycie udokumentowane w terminie do 90 dni od jej uruchomienia. W uzasadnionych przypadkach i na wniosek Ostatecznego Odbiorcy termin ten może uleć wydłużeniu maksymalnie o kolejne 90 dni ze względu na charakter inwestycji. Dokumentem potwierdzającym wydatkowanie środków zgodnie z celem, na jaki zostały przyznane jest faktura lub dokument równoważny, w rozumieniu przepisów prawa krajowego. </w:t>
      </w:r>
    </w:p>
    <w:p w14:paraId="42674DE1" w14:textId="77777777" w:rsidR="00CE0C05" w:rsidRDefault="00CE0C05" w:rsidP="00CE0C05">
      <w:pPr>
        <w:pStyle w:val="Nagwek1"/>
        <w:ind w:left="705" w:right="0" w:hanging="720"/>
      </w:pPr>
      <w:r>
        <w:t xml:space="preserve">Przeznaczenie finansowania (Cele Inwestycji) </w:t>
      </w:r>
    </w:p>
    <w:p w14:paraId="102398E4" w14:textId="77777777" w:rsidR="00CE0C05" w:rsidRDefault="00CE0C05" w:rsidP="00CE0C05">
      <w:pPr>
        <w:numPr>
          <w:ilvl w:val="0"/>
          <w:numId w:val="3"/>
        </w:numPr>
        <w:ind w:hanging="286"/>
      </w:pPr>
      <w:r>
        <w:t xml:space="preserve">W ramach Instrumentu Finansowego finansowane będą przedsięwzięcia Ostatecznego Odbiorcy przyczyniające się do tworzenia warunków sprzyjających budowie konkurencyjnego sektora MŚP na terenie województwa zachodniopomorskiego. </w:t>
      </w:r>
    </w:p>
    <w:p w14:paraId="40AD28BD" w14:textId="77777777" w:rsidR="00CE0C05" w:rsidRDefault="00CE0C05" w:rsidP="00CE0C05">
      <w:pPr>
        <w:numPr>
          <w:ilvl w:val="0"/>
          <w:numId w:val="3"/>
        </w:numPr>
        <w:spacing w:after="8"/>
        <w:ind w:hanging="286"/>
      </w:pPr>
      <w:r>
        <w:lastRenderedPageBreak/>
        <w:t xml:space="preserve">Wsparcie może obejmować inwestycje zarówno w środki trwałe, jak i wartości niematerialne i prawne, jak również kapitał obrotowy pod warunkiem, że będzie on powiązany z działalnością inwestycyjną lub dalszą ekspansją przedsiębiorstwa, na które zostało przyznane finansowanie. </w:t>
      </w:r>
    </w:p>
    <w:p w14:paraId="090E6739" w14:textId="06738D62" w:rsidR="00CE0C05" w:rsidRDefault="00CE0C05" w:rsidP="00CE0C05">
      <w:pPr>
        <w:numPr>
          <w:ilvl w:val="0"/>
          <w:numId w:val="3"/>
        </w:numPr>
        <w:spacing w:after="207"/>
        <w:ind w:hanging="286"/>
      </w:pPr>
      <w:r>
        <w:t xml:space="preserve">Udział Jednostkowej Pożyczce Obrotowo Inwestycyjnej PLUS w koszcie realizowanego przedsięwzięcia rozwojowego może stanowić do 100% jego wartości. </w:t>
      </w:r>
    </w:p>
    <w:p w14:paraId="089AAD02" w14:textId="77777777" w:rsidR="00CE0C05" w:rsidRDefault="00CE0C05" w:rsidP="00CE0C05">
      <w:pPr>
        <w:pStyle w:val="Nagwek1"/>
        <w:ind w:left="413" w:right="0" w:hanging="428"/>
      </w:pPr>
      <w:r>
        <w:t xml:space="preserve">Wykluczenia z finansowania </w:t>
      </w:r>
    </w:p>
    <w:p w14:paraId="30EBDB27" w14:textId="77777777" w:rsidR="00CE0C05" w:rsidRDefault="00CE0C05" w:rsidP="00CE0C05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ramach Pożyczki Obrotowo Inwestycyjnej PLUS nie mogą być finansowane obszary wykluczone ze wsparcia wskazane: </w:t>
      </w:r>
      <w:r>
        <w:rPr>
          <w:b/>
        </w:rPr>
        <w:t>1)</w:t>
      </w:r>
      <w:r>
        <w:t xml:space="preserve"> w art. 1 ust. 2-5 Rozporządzenia Komisji (UE) nr 651/2014 z dnia 17 czerwca 2014 r. uznającym niektóre rodzaje pomocy za zgodne z rynkiem wewnętrznym w zastosowaniu art. 107 i 108 Traktatu, </w:t>
      </w:r>
      <w:r>
        <w:rPr>
          <w:b/>
        </w:rPr>
        <w:t>2)</w:t>
      </w:r>
      <w:r>
        <w:t xml:space="preserve"> w Umowie Partnerstwa, a w szczególności: </w:t>
      </w:r>
    </w:p>
    <w:p w14:paraId="63432E33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23503BDC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refinansowanie inwestycji, które w dniu podjęcia decyzji inwestycyjnej zostały fizycznie ukończone lub w pełni wdrożone; </w:t>
      </w:r>
    </w:p>
    <w:p w14:paraId="58153EE3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refinansowanie jakichkolwiek pożyczek, kredytów lub rat leasingowych; </w:t>
      </w:r>
    </w:p>
    <w:p w14:paraId="421A6DBF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dokonanie spłaty zobowiązań </w:t>
      </w:r>
      <w:proofErr w:type="spellStart"/>
      <w:r>
        <w:t>publiczno</w:t>
      </w:r>
      <w:proofErr w:type="spellEnd"/>
      <w:r>
        <w:t xml:space="preserve"> – prawnych Ostatecznego Odbiorcy; </w:t>
      </w:r>
    </w:p>
    <w:p w14:paraId="0AF105B7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wydatków niezwiązanych bezpośrednio z Celem Inwestycji;  </w:t>
      </w:r>
    </w:p>
    <w:p w14:paraId="5B750257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32E79AAC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wytwarzania, przetwórstwa lub wprowadzania do obrotu przez producenta lub importera tytoniu i wyrobów tytoniowych;  </w:t>
      </w:r>
    </w:p>
    <w:p w14:paraId="7A2594DE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napojów alkoholowych; </w:t>
      </w:r>
    </w:p>
    <w:p w14:paraId="0ECD076E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treści pornograficznych; </w:t>
      </w:r>
    </w:p>
    <w:p w14:paraId="6AA2C752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obrotu materiałami wybuchowymi, bronią i amunicją; </w:t>
      </w:r>
    </w:p>
    <w:p w14:paraId="01C5961F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gier losowych, zakładów wzajemnych, gier na automatach i gier na automatach o niskich wygranych; </w:t>
      </w:r>
    </w:p>
    <w:p w14:paraId="141CC402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środków odurzających, substancji psychotropowych lub prekursorów; </w:t>
      </w:r>
    </w:p>
    <w:p w14:paraId="2E9842AB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likwidacji lub budowy elektrowni jądrowych; </w:t>
      </w:r>
    </w:p>
    <w:p w14:paraId="22425E9C" w14:textId="77777777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inwestycji na rzecz redukcji emisji gazów cieplarnianych pochodzących z listy działań wymienionych w załączniku I do dyrektywy 2003/87/WE; </w:t>
      </w:r>
    </w:p>
    <w:p w14:paraId="67343AE5" w14:textId="77777777" w:rsidR="00CE0C05" w:rsidRDefault="00CE0C05" w:rsidP="00CE0C05">
      <w:pPr>
        <w:numPr>
          <w:ilvl w:val="0"/>
          <w:numId w:val="4"/>
        </w:numPr>
        <w:spacing w:after="124"/>
        <w:ind w:hanging="427"/>
      </w:pPr>
      <w:r>
        <w:lastRenderedPageBreak/>
        <w:t xml:space="preserve">finansowanie inwestycji z zakresu budowy sieci szerokopasmowych; </w:t>
      </w:r>
    </w:p>
    <w:p w14:paraId="5BDE659D" w14:textId="12242EE1" w:rsidR="00CE0C05" w:rsidRDefault="00CE0C05" w:rsidP="00CE0C05">
      <w:pPr>
        <w:numPr>
          <w:ilvl w:val="0"/>
          <w:numId w:val="4"/>
        </w:numPr>
        <w:ind w:hanging="427"/>
      </w:pPr>
      <w: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7DED305E" w14:textId="77777777" w:rsidR="00CE0C05" w:rsidRDefault="00CE0C05" w:rsidP="00CE0C05">
      <w:pPr>
        <w:pStyle w:val="Nagwek1"/>
        <w:ind w:left="413" w:right="0" w:hanging="428"/>
      </w:pPr>
      <w:r>
        <w:t xml:space="preserve">Ograniczenia w finansowaniu </w:t>
      </w:r>
    </w:p>
    <w:p w14:paraId="0F657B6A" w14:textId="77777777" w:rsidR="00CE0C05" w:rsidRDefault="00CE0C05" w:rsidP="00CE0C05">
      <w:pPr>
        <w:numPr>
          <w:ilvl w:val="0"/>
          <w:numId w:val="5"/>
        </w:numPr>
        <w:ind w:hanging="428"/>
      </w:pPr>
      <w:r>
        <w:t xml:space="preserve">Finansowanie zakupu gruntów niezabudowanych i zabudowanych w ramach finansowanej inwestycji możliwe jest do wysokości 10 % środków wypłaconych na rzecz Ostatecznego Odbiorcy. </w:t>
      </w:r>
    </w:p>
    <w:p w14:paraId="433C4F53" w14:textId="77777777" w:rsidR="00CE0C05" w:rsidRDefault="00CE0C05" w:rsidP="00CE0C05">
      <w:pPr>
        <w:numPr>
          <w:ilvl w:val="0"/>
          <w:numId w:val="5"/>
        </w:numPr>
        <w:ind w:hanging="428"/>
      </w:pPr>
      <w:r>
        <w:t xml:space="preserve">W ramach Instrumentu Finansowego finansowane będą przedsięwzięcia Ostatecznego Odbiorcy przyczyniające się do tworzenia warunków sprzyjających budowie konkurencyjnego sektora MŚP na terenie województwa zachodniopomorskiego. </w:t>
      </w:r>
    </w:p>
    <w:p w14:paraId="7BBBF75E" w14:textId="77777777" w:rsidR="00CE0C05" w:rsidRDefault="00CE0C05" w:rsidP="00CE0C05">
      <w:pPr>
        <w:numPr>
          <w:ilvl w:val="0"/>
          <w:numId w:val="5"/>
        </w:numPr>
        <w:ind w:hanging="428"/>
      </w:pPr>
      <w:r>
        <w:t xml:space="preserve">Wsparcie może obejmować inwestycje zarówno w środki trwałe, jak i wartości niematerialne i prawne, jak również kapitał obrotowy pod warunkiem, że będzie on powiązany z działalnością inwestycyjną lub dalszą ekspansją przedsiębiorstwa, na które zostało przyznane finansowanie.  </w:t>
      </w:r>
    </w:p>
    <w:p w14:paraId="2F16B094" w14:textId="122D83E7" w:rsidR="00CE0C05" w:rsidRDefault="00CE0C05" w:rsidP="00CE0C05">
      <w:pPr>
        <w:numPr>
          <w:ilvl w:val="0"/>
          <w:numId w:val="5"/>
        </w:numPr>
        <w:spacing w:after="125"/>
        <w:ind w:hanging="428"/>
      </w:pPr>
      <w:r>
        <w:t xml:space="preserve">Środki Pożyczki Obrotowo Inwestycyjnej PLUS nie mogą nakładać się finansowaniem z Europejskich Funduszy Strukturalnych i Inwestycyjnych, z innych funduszy, programów, środków i instrumentów Unii Europejskiej, a także innych źródeł pomocy krajowej i zagranicznej. </w:t>
      </w:r>
    </w:p>
    <w:p w14:paraId="1480FD4D" w14:textId="77777777" w:rsidR="00CE0C05" w:rsidRDefault="00CE0C05" w:rsidP="00CE0C05">
      <w:pPr>
        <w:pStyle w:val="Nagwek1"/>
        <w:ind w:left="413" w:right="0" w:hanging="428"/>
      </w:pPr>
      <w:r>
        <w:t>Zasady odpłatności za udzielenie Pożyczki Obrotowo Inwestycyjnej PLUS</w:t>
      </w:r>
      <w:r>
        <w:rPr>
          <w:b w:val="0"/>
        </w:rPr>
        <w:t xml:space="preserve"> </w:t>
      </w:r>
      <w:r>
        <w:t xml:space="preserve"> </w:t>
      </w:r>
    </w:p>
    <w:p w14:paraId="33823D27" w14:textId="77777777" w:rsidR="00CE0C05" w:rsidRDefault="00CE0C05" w:rsidP="00CE0C05">
      <w:pPr>
        <w:tabs>
          <w:tab w:val="center" w:pos="3406"/>
        </w:tabs>
        <w:ind w:lef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Pożyczka Obrotowo Inwestycyjnej PLUS może być oprocentowana: </w:t>
      </w:r>
    </w:p>
    <w:p w14:paraId="2670D444" w14:textId="77777777" w:rsidR="00CE0C05" w:rsidRDefault="00CE0C05" w:rsidP="00CE0C05">
      <w:pPr>
        <w:spacing w:after="126"/>
        <w:ind w:left="989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na warunkach rynkowych</w:t>
      </w:r>
      <w:r>
        <w:t xml:space="preserve">, </w:t>
      </w:r>
      <w:r>
        <w:rPr>
          <w:u w:val="single" w:color="000000"/>
        </w:rPr>
        <w:t>według stopy referencyjnej</w:t>
      </w:r>
      <w:r>
        <w:t xml:space="preserve"> obliczanej przy zastosowaniu obowiązującej stopy bazowej oraz marży ustalonej w oparciu o Komunikat Komisji Europejskiej w sprawie zmiany metody ustalania stóp referencyjnych i dyskontowych</w:t>
      </w:r>
      <w:r>
        <w:rPr>
          <w:i/>
        </w:rPr>
        <w:t xml:space="preserve"> </w:t>
      </w:r>
      <w:r>
        <w:t xml:space="preserve">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 </w:t>
      </w:r>
    </w:p>
    <w:p w14:paraId="518BF909" w14:textId="77777777" w:rsidR="00CE0C05" w:rsidRDefault="00CE0C05" w:rsidP="00CE0C05">
      <w:pPr>
        <w:spacing w:after="128" w:line="267" w:lineRule="auto"/>
        <w:ind w:left="1004" w:hanging="10"/>
        <w:jc w:val="left"/>
      </w:pPr>
      <w:r>
        <w:rPr>
          <w:b/>
        </w:rPr>
        <w:t xml:space="preserve">Stopa bazowa publikowana jest przez Komisję Europejską w dzienniku Urzędowym Unii Europejskiej i dostępna jest na stronie:  </w:t>
      </w:r>
    </w:p>
    <w:p w14:paraId="01DDC14A" w14:textId="77777777" w:rsidR="00CE0C05" w:rsidRDefault="007F158E" w:rsidP="00CE0C05">
      <w:pPr>
        <w:spacing w:after="1" w:line="380" w:lineRule="auto"/>
        <w:ind w:left="989" w:right="1214" w:hanging="10"/>
        <w:jc w:val="left"/>
      </w:pPr>
      <w:hyperlink r:id="rId7">
        <w:r w:rsidR="00CE0C05">
          <w:rPr>
            <w:color w:val="0000FF"/>
            <w:u w:val="single" w:color="0000FF"/>
          </w:rPr>
          <w:t>http://ec.europa.eu/competition/state_aid/legislation/reference_rates.html</w:t>
        </w:r>
      </w:hyperlink>
      <w:hyperlink r:id="rId8">
        <w:r w:rsidR="00CE0C05">
          <w:t xml:space="preserve"> </w:t>
        </w:r>
      </w:hyperlink>
      <w:r w:rsidR="00CE0C05">
        <w:t xml:space="preserve">oraz </w:t>
      </w:r>
    </w:p>
    <w:p w14:paraId="334CE064" w14:textId="77777777" w:rsidR="00CE0C05" w:rsidRDefault="007F158E" w:rsidP="00CE0C05">
      <w:pPr>
        <w:spacing w:after="1" w:line="259" w:lineRule="auto"/>
        <w:ind w:left="989" w:right="2726" w:hanging="10"/>
        <w:jc w:val="left"/>
      </w:pPr>
      <w:hyperlink r:id="rId9">
        <w:r w:rsidR="00CE0C05">
          <w:rPr>
            <w:color w:val="0000FF"/>
            <w:u w:val="single" w:color="0000FF"/>
          </w:rPr>
          <w:t>https://uokik.gov.pl/stopa_referencyjna_i_archiwum.php</w:t>
        </w:r>
      </w:hyperlink>
      <w:hyperlink r:id="rId10">
        <w:r w:rsidR="00CE0C05">
          <w:t xml:space="preserve"> </w:t>
        </w:r>
      </w:hyperlink>
      <w:r w:rsidR="00CE0C05">
        <w:rPr>
          <w:b/>
        </w:rPr>
        <w:t xml:space="preserve">Marża jest ustalana w następujący sposób: </w:t>
      </w:r>
    </w:p>
    <w:tbl>
      <w:tblPr>
        <w:tblW w:w="8313" w:type="dxa"/>
        <w:tblInd w:w="1044" w:type="dxa"/>
        <w:tblCellMar>
          <w:top w:w="48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3776"/>
        <w:gridCol w:w="1560"/>
        <w:gridCol w:w="1560"/>
        <w:gridCol w:w="1417"/>
      </w:tblGrid>
      <w:tr w:rsidR="00CE0C05" w14:paraId="3CFAF5D6" w14:textId="77777777" w:rsidTr="00401F42">
        <w:trPr>
          <w:trHeight w:val="437"/>
        </w:trPr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493220" w14:textId="77777777" w:rsidR="00CE0C05" w:rsidRDefault="00CE0C05" w:rsidP="00401F42">
            <w:pPr>
              <w:spacing w:after="0" w:line="259" w:lineRule="auto"/>
              <w:ind w:left="2381" w:firstLine="0"/>
              <w:jc w:val="left"/>
            </w:pPr>
            <w:r w:rsidRPr="006D224C">
              <w:rPr>
                <w:b/>
              </w:rPr>
              <w:t xml:space="preserve">Marża kredytów w punktach bazowych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BF48" w14:textId="77777777" w:rsidR="00CE0C05" w:rsidRDefault="00CE0C05" w:rsidP="00401F42">
            <w:pPr>
              <w:spacing w:after="160" w:line="259" w:lineRule="auto"/>
              <w:ind w:left="0" w:firstLine="0"/>
              <w:jc w:val="left"/>
            </w:pPr>
          </w:p>
        </w:tc>
      </w:tr>
      <w:tr w:rsidR="00CE0C05" w14:paraId="42950D62" w14:textId="77777777" w:rsidTr="00401F42">
        <w:trPr>
          <w:trHeight w:val="439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F3EE" w14:textId="77777777" w:rsidR="00CE0C05" w:rsidRDefault="00CE0C05" w:rsidP="00401F42">
            <w:pPr>
              <w:spacing w:after="0" w:line="259" w:lineRule="auto"/>
              <w:ind w:left="36" w:firstLine="0"/>
              <w:jc w:val="center"/>
            </w:pPr>
            <w:r w:rsidRPr="006D224C">
              <w:rPr>
                <w:b/>
              </w:rPr>
              <w:t xml:space="preserve">Kategoria ratingu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5B9521" w14:textId="77777777" w:rsidR="00CE0C05" w:rsidRDefault="00CE0C05" w:rsidP="00401F42">
            <w:pPr>
              <w:spacing w:after="0" w:line="259" w:lineRule="auto"/>
              <w:ind w:left="0" w:firstLine="0"/>
              <w:jc w:val="right"/>
            </w:pPr>
            <w:r w:rsidRPr="006D224C">
              <w:rPr>
                <w:b/>
              </w:rPr>
              <w:t xml:space="preserve">Poziom </w:t>
            </w:r>
            <w:proofErr w:type="spellStart"/>
            <w:r w:rsidRPr="006D224C">
              <w:rPr>
                <w:b/>
              </w:rPr>
              <w:t>zabezpiecze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D826" w14:textId="77777777" w:rsidR="00CE0C05" w:rsidRDefault="00CE0C05" w:rsidP="00401F42">
            <w:pPr>
              <w:spacing w:after="0" w:line="259" w:lineRule="auto"/>
              <w:ind w:left="-6" w:firstLine="0"/>
              <w:jc w:val="left"/>
            </w:pPr>
            <w:r w:rsidRPr="006D224C">
              <w:rPr>
                <w:b/>
              </w:rPr>
              <w:t xml:space="preserve">ń </w:t>
            </w:r>
          </w:p>
        </w:tc>
      </w:tr>
      <w:tr w:rsidR="00CE0C05" w14:paraId="0157E4A4" w14:textId="77777777" w:rsidTr="00401F42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51CC" w14:textId="77777777" w:rsidR="00CE0C05" w:rsidRDefault="00CE0C05" w:rsidP="00401F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0037" w14:textId="77777777" w:rsidR="00CE0C05" w:rsidRDefault="00CE0C05" w:rsidP="00401F42">
            <w:pPr>
              <w:spacing w:after="0" w:line="259" w:lineRule="auto"/>
              <w:ind w:left="4" w:firstLine="0"/>
              <w:jc w:val="center"/>
            </w:pPr>
            <w:r w:rsidRPr="006D224C">
              <w:rPr>
                <w:b/>
              </w:rPr>
              <w:t xml:space="preserve">Wysoki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F041" w14:textId="77777777" w:rsidR="00CE0C05" w:rsidRDefault="00CE0C05" w:rsidP="00401F42">
            <w:pPr>
              <w:spacing w:after="0" w:line="259" w:lineRule="auto"/>
              <w:ind w:left="170" w:firstLine="0"/>
              <w:jc w:val="left"/>
            </w:pPr>
            <w:r w:rsidRPr="006D224C">
              <w:rPr>
                <w:b/>
              </w:rPr>
              <w:t xml:space="preserve">Standardowy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E940" w14:textId="77777777" w:rsidR="00CE0C05" w:rsidRDefault="00CE0C05" w:rsidP="00401F42">
            <w:pPr>
              <w:spacing w:after="0" w:line="259" w:lineRule="auto"/>
              <w:ind w:left="3" w:firstLine="0"/>
              <w:jc w:val="center"/>
            </w:pPr>
            <w:r w:rsidRPr="006D224C">
              <w:rPr>
                <w:b/>
              </w:rPr>
              <w:t xml:space="preserve">Niski </w:t>
            </w:r>
          </w:p>
        </w:tc>
      </w:tr>
      <w:tr w:rsidR="00CE0C05" w14:paraId="1E574C61" w14:textId="77777777" w:rsidTr="00401F42">
        <w:trPr>
          <w:trHeight w:val="4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1762" w14:textId="77777777" w:rsidR="00CE0C05" w:rsidRDefault="00CE0C05" w:rsidP="00401F42">
            <w:pPr>
              <w:spacing w:after="0" w:line="259" w:lineRule="auto"/>
              <w:ind w:left="103" w:firstLine="0"/>
              <w:jc w:val="left"/>
            </w:pPr>
            <w:r>
              <w:t xml:space="preserve">Wysoki (AAA-A)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E019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E7B9" w14:textId="77777777" w:rsidR="00CE0C05" w:rsidRDefault="00CE0C05" w:rsidP="00401F42">
            <w:pPr>
              <w:spacing w:after="0" w:line="259" w:lineRule="auto"/>
              <w:ind w:left="38" w:firstLine="0"/>
              <w:jc w:val="center"/>
            </w:pPr>
            <w:r>
              <w:t xml:space="preserve">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9517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100 </w:t>
            </w:r>
          </w:p>
        </w:tc>
      </w:tr>
      <w:tr w:rsidR="00CE0C05" w14:paraId="33880B17" w14:textId="77777777" w:rsidTr="00401F42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E17C" w14:textId="77777777" w:rsidR="00CE0C05" w:rsidRDefault="00CE0C05" w:rsidP="00401F42">
            <w:pPr>
              <w:spacing w:after="0" w:line="259" w:lineRule="auto"/>
              <w:ind w:left="103" w:firstLine="0"/>
              <w:jc w:val="left"/>
            </w:pPr>
            <w:r>
              <w:t xml:space="preserve">Dobry (BBB)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0705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34C3" w14:textId="77777777" w:rsidR="00CE0C05" w:rsidRDefault="00CE0C05" w:rsidP="00401F42">
            <w:pPr>
              <w:spacing w:after="0" w:line="259" w:lineRule="auto"/>
              <w:ind w:left="3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170D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220 </w:t>
            </w:r>
          </w:p>
        </w:tc>
      </w:tr>
      <w:tr w:rsidR="00CE0C05" w14:paraId="0B8B04E0" w14:textId="77777777" w:rsidTr="00401F42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222" w14:textId="77777777" w:rsidR="00CE0C05" w:rsidRDefault="00CE0C05" w:rsidP="00401F42">
            <w:pPr>
              <w:spacing w:after="0" w:line="259" w:lineRule="auto"/>
              <w:ind w:left="103" w:firstLine="0"/>
              <w:jc w:val="left"/>
            </w:pPr>
            <w:r>
              <w:lastRenderedPageBreak/>
              <w:t xml:space="preserve">Zadowalający (BB)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BE7B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745D" w14:textId="77777777" w:rsidR="00CE0C05" w:rsidRDefault="00CE0C05" w:rsidP="00401F42">
            <w:pPr>
              <w:spacing w:after="0" w:line="259" w:lineRule="auto"/>
              <w:ind w:left="38" w:firstLine="0"/>
              <w:jc w:val="center"/>
            </w:pPr>
            <w:r>
              <w:t xml:space="preserve">220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DB0A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400 </w:t>
            </w:r>
          </w:p>
        </w:tc>
      </w:tr>
      <w:tr w:rsidR="00CE0C05" w14:paraId="7A511690" w14:textId="77777777" w:rsidTr="00401F42">
        <w:trPr>
          <w:trHeight w:val="437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AA9D" w14:textId="77777777" w:rsidR="00CE0C05" w:rsidRDefault="00CE0C05" w:rsidP="00401F42">
            <w:pPr>
              <w:spacing w:after="0" w:line="259" w:lineRule="auto"/>
              <w:ind w:left="103" w:firstLine="0"/>
              <w:jc w:val="left"/>
            </w:pPr>
            <w:r>
              <w:t xml:space="preserve">Niski (B)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2D71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220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0AD0" w14:textId="77777777" w:rsidR="00CE0C05" w:rsidRDefault="00CE0C05" w:rsidP="00401F42">
            <w:pPr>
              <w:spacing w:after="0" w:line="259" w:lineRule="auto"/>
              <w:ind w:left="38" w:firstLine="0"/>
              <w:jc w:val="center"/>
            </w:pPr>
            <w:r>
              <w:t xml:space="preserve">400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A155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650 </w:t>
            </w:r>
          </w:p>
        </w:tc>
      </w:tr>
      <w:tr w:rsidR="00CE0C05" w14:paraId="032444DF" w14:textId="77777777" w:rsidTr="00401F42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869B" w14:textId="77777777" w:rsidR="00CE0C05" w:rsidRDefault="00CE0C05" w:rsidP="00401F42">
            <w:pPr>
              <w:spacing w:after="0" w:line="259" w:lineRule="auto"/>
              <w:ind w:left="103" w:firstLine="0"/>
              <w:jc w:val="left"/>
            </w:pPr>
            <w:r>
              <w:t xml:space="preserve">Zły/Trudności finansowe (CCC i poniżej)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9830" w14:textId="77777777" w:rsidR="00CE0C05" w:rsidRDefault="00CE0C05" w:rsidP="00401F42">
            <w:pPr>
              <w:spacing w:after="0" w:line="259" w:lineRule="auto"/>
              <w:ind w:left="39" w:firstLine="0"/>
              <w:jc w:val="center"/>
            </w:pPr>
            <w:r>
              <w:t xml:space="preserve">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45E5" w14:textId="77777777" w:rsidR="00CE0C05" w:rsidRDefault="00CE0C05" w:rsidP="00401F42">
            <w:pPr>
              <w:spacing w:after="0" w:line="259" w:lineRule="auto"/>
              <w:ind w:left="38" w:firstLine="0"/>
              <w:jc w:val="center"/>
            </w:pPr>
            <w:r>
              <w:t xml:space="preserve">650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67F1" w14:textId="77777777" w:rsidR="00CE0C05" w:rsidRDefault="00CE0C05" w:rsidP="00401F42">
            <w:pPr>
              <w:spacing w:after="0" w:line="259" w:lineRule="auto"/>
              <w:ind w:left="36" w:firstLine="0"/>
              <w:jc w:val="center"/>
            </w:pPr>
            <w:r>
              <w:t xml:space="preserve">1000 </w:t>
            </w:r>
          </w:p>
        </w:tc>
      </w:tr>
    </w:tbl>
    <w:p w14:paraId="2172DAF5" w14:textId="77777777" w:rsidR="00CE0C05" w:rsidRDefault="00CE0C05" w:rsidP="00CE0C05">
      <w:pPr>
        <w:spacing w:after="0" w:line="259" w:lineRule="auto"/>
        <w:ind w:left="0" w:firstLine="0"/>
        <w:jc w:val="left"/>
      </w:pPr>
      <w:r>
        <w:t xml:space="preserve"> </w:t>
      </w:r>
    </w:p>
    <w:p w14:paraId="4E46A878" w14:textId="77777777" w:rsidR="00CE0C05" w:rsidRDefault="00CE0C05" w:rsidP="00CE0C05">
      <w:pPr>
        <w:spacing w:after="125"/>
        <w:ind w:left="994" w:right="146" w:firstLine="0"/>
      </w:pPr>
      <w:r>
        <w:t xml:space="preserve">Pod pojęciem „standardowy poziom zabezpieczeń” należy rozumieć poziom zabezpieczeń, jakiego zwyczajowo wymagają instytucje finansowe z tytułu gwarancji dla udzielanych kredytów.  </w:t>
      </w:r>
    </w:p>
    <w:p w14:paraId="07B9EEAC" w14:textId="77777777" w:rsidR="00CE0C05" w:rsidRDefault="00CE0C05" w:rsidP="00CE0C05">
      <w:pPr>
        <w:spacing w:after="128"/>
        <w:ind w:left="994" w:right="143" w:firstLine="0"/>
      </w:pPr>
      <w:r>
        <w:t xml:space="preserve">Poziom zabezpieczeń może być mierzony jako strata z tytułu niewywiązywania się z płatności (ang.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 — LGD), czyli oczekiwana, wyrażona w procentach strata w łącznej kwocie kredytu dłużnika, przy uwzględnieniu możliwych do odzyskania kwot pochodzących z zabezpieczeń i masy upadłościowej; w konsekwencji LGD jest odwrotnie proporcjonalne do ważności zabezpieczeń. </w:t>
      </w:r>
    </w:p>
    <w:p w14:paraId="0305DF41" w14:textId="77777777" w:rsidR="00CE0C05" w:rsidRDefault="00CE0C05" w:rsidP="00CE0C05">
      <w:pPr>
        <w:spacing w:after="128"/>
        <w:ind w:left="994" w:right="143" w:firstLine="0"/>
      </w:pPr>
      <w: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 </w:t>
      </w:r>
    </w:p>
    <w:p w14:paraId="13527EE2" w14:textId="77777777" w:rsidR="00CE0C05" w:rsidRDefault="00CE0C05" w:rsidP="00CE0C05">
      <w:pPr>
        <w:spacing w:after="125"/>
        <w:ind w:left="994" w:right="147" w:firstLine="0"/>
      </w:pPr>
      <w:r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w odniesieniu do spółki dominującej. </w:t>
      </w:r>
    </w:p>
    <w:p w14:paraId="5EDA5568" w14:textId="77777777" w:rsidR="00CE0C05" w:rsidRDefault="00CE0C05" w:rsidP="00CE0C05">
      <w:pPr>
        <w:ind w:left="994" w:right="143" w:firstLine="0"/>
      </w:pPr>
      <w:r>
        <w:t xml:space="preserve">Rating nie musi pochodzić z konkretnych agencji ratingowych — akceptowane są również krajowe systemy ratingowe lub systemy ratingowe stosowane przez banki w celu odzwierciedlenia wskaźników niewypłacalności. </w:t>
      </w:r>
    </w:p>
    <w:p w14:paraId="790B5530" w14:textId="77777777" w:rsidR="00CE0C05" w:rsidRDefault="00CE0C05" w:rsidP="00CE0C05">
      <w:pPr>
        <w:spacing w:after="1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Od środków Pożyczki Obrotowo Inwestycyjnej PLUS nie pobiera się żadnych opłat i prowizji związanych z ich udostępnieniem i obsługą. Powyższe nie dotyczy odrębnie uregulowanych czynności windykacyjnych. </w:t>
      </w:r>
    </w:p>
    <w:p w14:paraId="42D00D8B" w14:textId="77777777" w:rsidR="00CE0C05" w:rsidRDefault="00CE0C05" w:rsidP="00CE0C05">
      <w:pPr>
        <w:spacing w:after="0" w:line="420" w:lineRule="auto"/>
        <w:ind w:left="0" w:right="945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A4781F" w14:textId="37BEA1A2" w:rsidR="00CE0C05" w:rsidRDefault="00CE0C05" w:rsidP="00CE0C05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C06C747" wp14:editId="6584EE80">
                <wp:extent cx="2039620" cy="6350"/>
                <wp:effectExtent l="0" t="0" r="0" b="0"/>
                <wp:docPr id="3876" name="Grupa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792" name="Shape 792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8472" id="Grupa 3876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">
                <v:shape id="Shape 792" o:spid="_x0000_s1027" style="position:absolute;width:20397;height:0;visibility:visible;mso-wrap-style:square;v-text-anchor:top" coordsize="2039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3AA102F2" w14:textId="77777777" w:rsidR="00CE0C05" w:rsidRDefault="00CE0C05" w:rsidP="00CE0C05">
      <w:pPr>
        <w:spacing w:after="161" w:line="259" w:lineRule="auto"/>
        <w:ind w:left="-5" w:hanging="10"/>
        <w:jc w:val="left"/>
      </w:pPr>
      <w:r>
        <w:rPr>
          <w:sz w:val="16"/>
        </w:rPr>
        <w:t>Podpis Pośrednika Finansowego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FAD4E8" w14:textId="77777777" w:rsidR="00CE0C05" w:rsidRDefault="00CE0C05" w:rsidP="00CE0C05">
      <w:pPr>
        <w:spacing w:after="139" w:line="259" w:lineRule="auto"/>
        <w:ind w:left="0" w:firstLine="0"/>
        <w:jc w:val="left"/>
      </w:pPr>
      <w:r>
        <w:t xml:space="preserve"> </w:t>
      </w:r>
    </w:p>
    <w:p w14:paraId="2AC69DB3" w14:textId="77777777" w:rsidR="00CE0C05" w:rsidRDefault="00CE0C05" w:rsidP="00CE0C05">
      <w:pPr>
        <w:spacing w:after="139" w:line="259" w:lineRule="auto"/>
        <w:ind w:left="0" w:firstLine="0"/>
        <w:jc w:val="left"/>
      </w:pPr>
      <w:r>
        <w:t xml:space="preserve"> </w:t>
      </w:r>
    </w:p>
    <w:p w14:paraId="209CB891" w14:textId="77777777" w:rsidR="00CE0C05" w:rsidRDefault="00CE0C05" w:rsidP="00CE0C05">
      <w:pPr>
        <w:spacing w:after="131"/>
        <w:ind w:left="0" w:firstLine="0"/>
      </w:pPr>
      <w:r>
        <w:t xml:space="preserve">Oświadczam, iż zapoznałem się z treścią niniejszego dokumentu: </w:t>
      </w:r>
    </w:p>
    <w:p w14:paraId="376152AA" w14:textId="77777777" w:rsidR="00CE0C05" w:rsidRDefault="00CE0C05" w:rsidP="00CE0C05">
      <w:pPr>
        <w:spacing w:after="0" w:line="417" w:lineRule="auto"/>
        <w:ind w:left="0" w:right="945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AD223E" w14:textId="5691B343" w:rsidR="00CE0C05" w:rsidRDefault="00CE0C05" w:rsidP="00CE0C05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17F105" wp14:editId="334AC5C4">
                <wp:extent cx="2039620" cy="6350"/>
                <wp:effectExtent l="0" t="0" r="0" b="0"/>
                <wp:docPr id="3877" name="Grupa 3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6E407" id="Grupa 3877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">
                <v:shape id="Shape 803" o:spid="_x0000_s1027" style="position:absolute;width:20397;height:0;visibility:visible;mso-wrap-style:square;v-text-anchor:top" coordsize="2039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2C07803D" w14:textId="77777777" w:rsidR="00CE0C05" w:rsidRDefault="00CE0C05" w:rsidP="00CE0C05">
      <w:pPr>
        <w:spacing w:after="161" w:line="259" w:lineRule="auto"/>
        <w:ind w:left="-5" w:hanging="10"/>
        <w:jc w:val="left"/>
      </w:pPr>
      <w:r>
        <w:rPr>
          <w:sz w:val="16"/>
        </w:rPr>
        <w:t>Podpis Pożyczkobiorcy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6CF643A" w14:textId="77777777" w:rsidR="00CE0C05" w:rsidRDefault="00CE0C05" w:rsidP="00CE0C05">
      <w:pPr>
        <w:spacing w:after="0" w:line="259" w:lineRule="auto"/>
        <w:ind w:left="0" w:firstLine="0"/>
        <w:jc w:val="left"/>
      </w:pPr>
      <w:r>
        <w:t xml:space="preserve"> </w:t>
      </w:r>
    </w:p>
    <w:p w14:paraId="12C3C91B" w14:textId="77777777" w:rsidR="00CE0C05" w:rsidRPr="00D315FB" w:rsidRDefault="00CE0C05" w:rsidP="00922983">
      <w:pPr>
        <w:tabs>
          <w:tab w:val="left" w:pos="142"/>
        </w:tabs>
      </w:pPr>
    </w:p>
    <w:sectPr w:rsidR="00CE0C05" w:rsidRPr="00D31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EB53" w14:textId="77777777" w:rsidR="00272EB9" w:rsidRDefault="00272EB9" w:rsidP="00A07E51">
      <w:pPr>
        <w:spacing w:after="0" w:line="240" w:lineRule="auto"/>
      </w:pPr>
      <w:r>
        <w:separator/>
      </w:r>
    </w:p>
  </w:endnote>
  <w:endnote w:type="continuationSeparator" w:id="0">
    <w:p w14:paraId="62FD4835" w14:textId="77777777" w:rsidR="00272EB9" w:rsidRDefault="00272EB9" w:rsidP="00A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3963" w14:textId="77777777" w:rsidR="008506FC" w:rsidRDefault="00850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F829" w14:textId="6E75624B" w:rsidR="00D315FB" w:rsidRDefault="00D315FB">
    <w:pPr>
      <w:pStyle w:val="Stopka"/>
    </w:pPr>
    <w:r>
      <w:rPr>
        <w:noProof/>
      </w:rPr>
      <w:drawing>
        <wp:inline distT="0" distB="0" distL="0" distR="0" wp14:anchorId="61508873" wp14:editId="6D3A3E50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CC60" w14:textId="77777777" w:rsidR="008506FC" w:rsidRDefault="00850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DC95B" w14:textId="77777777" w:rsidR="00272EB9" w:rsidRDefault="00272EB9" w:rsidP="00A07E51">
      <w:pPr>
        <w:spacing w:after="0" w:line="240" w:lineRule="auto"/>
      </w:pPr>
      <w:r>
        <w:separator/>
      </w:r>
    </w:p>
  </w:footnote>
  <w:footnote w:type="continuationSeparator" w:id="0">
    <w:p w14:paraId="30CE00DE" w14:textId="77777777" w:rsidR="00272EB9" w:rsidRDefault="00272EB9" w:rsidP="00A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06DA" w14:textId="77777777" w:rsidR="008506FC" w:rsidRDefault="00850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2095" w14:textId="4337FFF6" w:rsidR="0029206B" w:rsidRDefault="0029206B" w:rsidP="005D79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B2D85" wp14:editId="16CD952C">
          <wp:simplePos x="0" y="0"/>
          <wp:positionH relativeFrom="column">
            <wp:posOffset>110857</wp:posOffset>
          </wp:positionH>
          <wp:positionV relativeFrom="paragraph">
            <wp:posOffset>-401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6D6F" w14:textId="77777777" w:rsidR="008506FC" w:rsidRDefault="00850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B2F"/>
    <w:multiLevelType w:val="hybridMultilevel"/>
    <w:tmpl w:val="5F52315C"/>
    <w:lvl w:ilvl="0" w:tplc="0A84E30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2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A4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D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6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A6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20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6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415B7"/>
    <w:multiLevelType w:val="hybridMultilevel"/>
    <w:tmpl w:val="A098596A"/>
    <w:lvl w:ilvl="0" w:tplc="943EAF1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8C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8973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A93F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D26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BC9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0E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A4D3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797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B7E5E"/>
    <w:multiLevelType w:val="hybridMultilevel"/>
    <w:tmpl w:val="64D49A8A"/>
    <w:lvl w:ilvl="0" w:tplc="43CC3D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2A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C6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1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856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8C8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4B5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86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7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E5E49"/>
    <w:multiLevelType w:val="hybridMultilevel"/>
    <w:tmpl w:val="B3F66A24"/>
    <w:lvl w:ilvl="0" w:tplc="6226A73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A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1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25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4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2A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CD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8A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EB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5730F"/>
    <w:multiLevelType w:val="hybridMultilevel"/>
    <w:tmpl w:val="D0909CD8"/>
    <w:lvl w:ilvl="0" w:tplc="8084E0B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66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1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E0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05C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C7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E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E9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536EC0"/>
    <w:multiLevelType w:val="hybridMultilevel"/>
    <w:tmpl w:val="138E8088"/>
    <w:lvl w:ilvl="0" w:tplc="50E240F6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8B7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61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AA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A1C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CDB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29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B6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EA3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4A"/>
    <w:rsid w:val="00095D4C"/>
    <w:rsid w:val="00272EB9"/>
    <w:rsid w:val="0029206B"/>
    <w:rsid w:val="003579EB"/>
    <w:rsid w:val="004D341E"/>
    <w:rsid w:val="005D7909"/>
    <w:rsid w:val="00736E4A"/>
    <w:rsid w:val="007F158E"/>
    <w:rsid w:val="0083171E"/>
    <w:rsid w:val="008506FC"/>
    <w:rsid w:val="00916A6E"/>
    <w:rsid w:val="00922983"/>
    <w:rsid w:val="009E521E"/>
    <w:rsid w:val="00A07E51"/>
    <w:rsid w:val="00CE0C05"/>
    <w:rsid w:val="00D309AF"/>
    <w:rsid w:val="00D315FB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24150"/>
  <w15:chartTrackingRefBased/>
  <w15:docId w15:val="{9DFD4B70-DFA4-4A30-AAAC-DE712B4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C05"/>
    <w:pPr>
      <w:spacing w:after="162" w:line="268" w:lineRule="auto"/>
      <w:ind w:left="437" w:hanging="437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0C05"/>
    <w:pPr>
      <w:keepNext/>
      <w:keepLines/>
      <w:numPr>
        <w:numId w:val="6"/>
      </w:numPr>
      <w:spacing w:after="164" w:line="267" w:lineRule="auto"/>
      <w:ind w:left="10" w:right="3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51"/>
  </w:style>
  <w:style w:type="paragraph" w:styleId="Stopka">
    <w:name w:val="footer"/>
    <w:basedOn w:val="Normalny"/>
    <w:link w:val="Stopka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51"/>
  </w:style>
  <w:style w:type="character" w:customStyle="1" w:styleId="Nagwek1Znak">
    <w:name w:val="Nagłówek 1 Znak"/>
    <w:basedOn w:val="Domylnaczcionkaakapitu"/>
    <w:link w:val="Nagwek1"/>
    <w:uiPriority w:val="9"/>
    <w:rsid w:val="00CE0C05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reference_rate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kik.gov.pl/stopa_referencyjna_i_archiwu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stopa_referencyjna_i_archiwum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3</cp:revision>
  <dcterms:created xsi:type="dcterms:W3CDTF">2019-09-03T12:17:00Z</dcterms:created>
  <dcterms:modified xsi:type="dcterms:W3CDTF">2020-12-01T09:54:00Z</dcterms:modified>
</cp:coreProperties>
</file>